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S2-2</w:t>
      </w:r>
      <w:r>
        <w:rPr>
          <w:rFonts w:hint="eastAsia" w:cs="Arial"/>
          <w:b/>
          <w:sz w:val="24"/>
          <w:szCs w:val="24"/>
          <w:lang w:val="en-US" w:eastAsia="zh-CN"/>
        </w:rPr>
        <w:t>509833</w:t>
      </w:r>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bookmarkStart w:id="14" w:name="_GoBack"/>
            <w:bookmarkEnd w:id="14"/>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The descriptions (e.g. step in 1c, step 6b) of Figure 6.2B.3-1 imply that the Analytics Consumer (positioned at the far left in the Figure 6.2B.3-1) can send an Analytics subscription request to the NWDAF. However, the service operation (i.e. Nnwdaf_DataManagement_Subscribe) shown in Step 1b that the Analytics consumer invoke was designed solely for data subscription, not for Analytics subscription. Please see the NOTE of clause 5A.1:</w:t>
            </w:r>
          </w:p>
          <w:p>
            <w:pPr>
              <w:rPr>
                <w:rFonts w:ascii="Arial" w:hAnsi="Arial" w:cs="Arial"/>
                <w:lang w:val="en-US" w:eastAsia="zh-CN"/>
              </w:rPr>
            </w:pPr>
            <w:r>
              <w:rPr>
                <w:rFonts w:hint="eastAsia" w:ascii="Arial" w:hAnsi="Arial" w:cs="Arial"/>
                <w:lang w:val="en-US" w:eastAsia="zh-CN"/>
              </w:rPr>
              <w:br w:type="textWrapping"/>
            </w:r>
            <w:r>
              <w:rPr>
                <w:rFonts w:hint="eastAsia" w:ascii="Arial" w:hAnsi="Arial" w:cs="Arial"/>
                <w:lang w:val="en-US" w:eastAsia="zh-CN"/>
              </w:rPr>
              <w:t>NOTE:</w:t>
            </w:r>
            <w:r>
              <w:rPr>
                <w:rFonts w:hint="eastAsia" w:ascii="Arial" w:hAnsi="Arial" w:cs="Arial"/>
                <w:lang w:val="en-US" w:eastAsia="zh-CN"/>
              </w:rPr>
              <w:tab/>
            </w:r>
            <w:r>
              <w:rPr>
                <w:rFonts w:hint="eastAsia" w:ascii="Arial" w:hAnsi="Arial" w:cs="Arial"/>
                <w:lang w:val="en-US" w:eastAsia="zh-CN"/>
              </w:rPr>
              <w:t>Nnwdaf_DataManagement service can be used to collect historical data or runtime data. For collecting historical and runtime analytics, Nnwdaf_AnalyticsSubscription service is used.</w:t>
            </w:r>
            <w:r>
              <w:rPr>
                <w:rFonts w:hint="eastAsia" w:ascii="Arial" w:hAnsi="Arial" w:cs="Arial"/>
                <w:lang w:val="en-US" w:eastAsia="zh-CN"/>
              </w:rPr>
              <w:br w:type="textWrapping"/>
            </w:r>
            <w:r>
              <w:rPr>
                <w:rFonts w:hint="eastAsia" w:ascii="Arial" w:hAnsi="Arial" w:cs="Arial"/>
                <w:lang w:val="en-US" w:eastAsia="zh-CN"/>
              </w:rPr>
              <w:t xml:space="preserve"> </w:t>
            </w:r>
          </w:p>
          <w:p>
            <w:pPr>
              <w:rPr>
                <w:rFonts w:ascii="Arial" w:hAnsi="Arial" w:cs="Arial"/>
                <w:lang w:val="en-US" w:eastAsia="zh-CN"/>
              </w:rPr>
            </w:pPr>
            <w:r>
              <w:rPr>
                <w:rFonts w:hint="eastAsia" w:ascii="Arial" w:hAnsi="Arial" w:cs="Arial"/>
                <w:lang w:val="en-US" w:eastAsia="zh-CN"/>
              </w:rPr>
              <w:t>This creates a discrepancies and logical contradictions between steps in clause 6.2B.3.</w:t>
            </w:r>
          </w:p>
          <w:p>
            <w:pPr>
              <w:rPr>
                <w:rFonts w:ascii="Arial" w:hAnsi="Arial" w:cs="Arial"/>
                <w:lang w:val="en-US" w:eastAsia="zh-CN"/>
              </w:rPr>
            </w:pPr>
            <w:r>
              <w:rPr>
                <w:rFonts w:ascii="Arial" w:hAnsi="Arial" w:cs="Arial"/>
                <w:lang w:val="en-US" w:eastAsia="zh-CN"/>
              </w:rPr>
              <w:t xml:space="preserve">On the other hand, the DCCF or NWDAF only receives </w:t>
            </w:r>
            <w:r>
              <w:rPr>
                <w:rFonts w:ascii="Arial" w:hAnsi="Arial" w:cs="Arial"/>
                <w:lang w:eastAsia="ko-KR"/>
              </w:rPr>
              <w:t>DataManagement subscription request</w:t>
            </w:r>
            <w:r>
              <w:rPr>
                <w:rFonts w:ascii="Arial" w:hAnsi="Arial" w:cs="Arial"/>
                <w:lang w:val="en-US" w:eastAsia="zh-CN"/>
              </w:rPr>
              <w:t>, they do not provide the requests</w:t>
            </w:r>
            <w:r>
              <w:rPr>
                <w:rFonts w:hint="eastAsia" w:ascii="Arial" w:hAnsi="Arial" w:cs="Arial"/>
                <w:lang w:val="en-US" w:eastAsia="zh-CN"/>
              </w:rPr>
              <w:t>, so the description at the  start of step 1 is wrong.</w:t>
            </w:r>
          </w:p>
          <w:p>
            <w:pPr>
              <w:rPr>
                <w:rFonts w:ascii="Arial" w:hAnsi="Arial" w:cs="Arial"/>
                <w:lang w:val="en-US" w:eastAsia="zh-CN"/>
              </w:rPr>
            </w:pPr>
            <w:r>
              <w:rPr>
                <w:rFonts w:hint="eastAsia" w:ascii="Arial" w:hAnsi="Arial" w:cs="Arial"/>
                <w:lang w:val="en-US" w:eastAsia="zh-CN"/>
              </w:rPr>
              <w:t>Finally, to implement the call-flow in 6.2B.3, the Analytics consumer needs to send ADRF ID and storage handling information to the NWDAF, and may receive the storage Approach determined by NWDAF, DCCF or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ascii="Arial" w:hAnsi="Arial" w:eastAsia="微软雅黑" w:cs="Arial"/>
                <w:lang w:val="en-US" w:eastAsia="zh-CN"/>
              </w:rPr>
              <w:t xml:space="preserve">Modify </w:t>
            </w:r>
            <w:r>
              <w:rPr>
                <w:rFonts w:ascii="Arial" w:hAnsi="Arial" w:eastAsia="微软雅黑" w:cs="Arial"/>
                <w:lang w:eastAsia="ko-KR"/>
              </w:rPr>
              <w:t>Figure 6.2B.3-1</w:t>
            </w:r>
            <w:r>
              <w:rPr>
                <w:rFonts w:ascii="Arial" w:hAnsi="Arial" w:eastAsia="微软雅黑" w:cs="Arial"/>
                <w:lang w:val="en-US" w:eastAsia="zh-CN"/>
              </w:rPr>
              <w:t xml:space="preserve"> to </w:t>
            </w:r>
            <w:r>
              <w:rPr>
                <w:rFonts w:hint="eastAsia" w:ascii="Arial" w:hAnsi="Arial" w:eastAsia="微软雅黑" w:cs="Arial"/>
                <w:lang w:val="en-US" w:eastAsia="zh-CN"/>
              </w:rPr>
              <w:t>add</w:t>
            </w:r>
            <w:r>
              <w:rPr>
                <w:rFonts w:ascii="Arial" w:hAnsi="Arial" w:eastAsia="微软雅黑" w:cs="Arial"/>
                <w:lang w:val="en-US" w:eastAsia="zh-CN"/>
              </w:rPr>
              <w:t xml:space="preserve"> Analytics subscription related services</w:t>
            </w:r>
            <w:r>
              <w:rPr>
                <w:rFonts w:hint="eastAsia" w:ascii="Arial" w:hAnsi="Arial" w:eastAsia="微软雅黑" w:cs="Arial"/>
                <w:lang w:val="en-US" w:eastAsia="zh-CN"/>
              </w:rPr>
              <w:t xml:space="preserve">, change many places to </w:t>
            </w:r>
            <w:r>
              <w:rPr>
                <w:rFonts w:ascii="Arial" w:hAnsi="Arial" w:eastAsia="微软雅黑" w:cs="Arial"/>
                <w:lang w:val="en-US" w:eastAsia="zh-CN"/>
              </w:rPr>
              <w:t>‘</w:t>
            </w:r>
            <w:r>
              <w:rPr>
                <w:rFonts w:hint="eastAsia" w:ascii="Arial" w:hAnsi="Arial" w:eastAsia="微软雅黑" w:cs="Arial"/>
                <w:lang w:val="en-US" w:eastAsia="zh-CN"/>
              </w:rPr>
              <w:t>data or analytics</w:t>
            </w:r>
            <w:r>
              <w:rPr>
                <w:rFonts w:ascii="Arial" w:hAnsi="Arial" w:eastAsia="微软雅黑" w:cs="Arial"/>
                <w:lang w:val="en-US" w:eastAsia="zh-CN"/>
              </w:rPr>
              <w:t>’</w:t>
            </w:r>
            <w:r>
              <w:rPr>
                <w:rFonts w:hint="eastAsia" w:ascii="Arial" w:hAnsi="Arial" w:eastAsia="微软雅黑" w:cs="Arial"/>
                <w:lang w:val="en-US" w:eastAsia="zh-CN"/>
              </w:rPr>
              <w:t>, and other editorial corrections.</w:t>
            </w:r>
          </w:p>
          <w:p>
            <w:pPr>
              <w:spacing w:before="60" w:after="0"/>
              <w:rPr>
                <w:rFonts w:ascii="Arial" w:hAnsi="Arial" w:eastAsia="微软雅黑" w:cs="Arial"/>
                <w:lang w:val="en-US" w:eastAsia="zh-CN"/>
              </w:rPr>
            </w:pPr>
            <w:r>
              <w:rPr>
                <w:rFonts w:ascii="Arial" w:hAnsi="Arial" w:eastAsia="微软雅黑" w:cs="Arial"/>
                <w:lang w:val="en-US" w:eastAsia="zh-CN"/>
              </w:rPr>
              <w:t>Refine the</w:t>
            </w:r>
            <w:r>
              <w:rPr>
                <w:rFonts w:hint="eastAsia" w:ascii="Arial" w:hAnsi="Arial" w:eastAsia="微软雅黑" w:cs="Arial"/>
                <w:lang w:val="en-US" w:eastAsia="zh-CN"/>
              </w:rPr>
              <w:t xml:space="preserve"> </w:t>
            </w:r>
            <w:r>
              <w:rPr>
                <w:rFonts w:ascii="Arial" w:hAnsi="Arial" w:eastAsia="微软雅黑" w:cs="Arial"/>
                <w:lang w:val="en-US" w:eastAsia="zh-CN"/>
              </w:rPr>
              <w:t>description</w:t>
            </w:r>
            <w:r>
              <w:rPr>
                <w:rFonts w:hint="eastAsia" w:ascii="Arial" w:hAnsi="Arial" w:eastAsia="微软雅黑" w:cs="Arial"/>
                <w:lang w:val="en-US" w:eastAsia="zh-CN"/>
              </w:rPr>
              <w:t>s</w:t>
            </w:r>
            <w:r>
              <w:rPr>
                <w:rFonts w:ascii="Arial" w:hAnsi="Arial" w:eastAsia="微软雅黑" w:cs="Arial"/>
                <w:lang w:val="en-US" w:eastAsia="zh-CN"/>
              </w:rPr>
              <w:t xml:space="preserve"> in clause 6.2B.3.</w:t>
            </w:r>
          </w:p>
          <w:p>
            <w:pPr>
              <w:spacing w:before="60" w:after="0"/>
              <w:rPr>
                <w:rFonts w:ascii="Arial" w:hAnsi="Arial" w:eastAsia="微软雅黑" w:cs="Arial"/>
                <w:lang w:val="en-US" w:eastAsia="zh-CN"/>
              </w:rPr>
            </w:pPr>
            <w:r>
              <w:rPr>
                <w:rFonts w:ascii="Arial" w:hAnsi="Arial" w:eastAsia="微软雅黑" w:cs="Arial"/>
                <w:lang w:val="en-US" w:eastAsia="zh-CN"/>
              </w:rPr>
              <w:t>Add ADRF ID and Storage Handling information</w:t>
            </w:r>
            <w:r>
              <w:rPr>
                <w:rFonts w:hint="eastAsia" w:ascii="Arial" w:hAnsi="Arial" w:eastAsia="微软雅黑" w:cs="Arial"/>
                <w:lang w:val="en-US" w:eastAsia="zh-CN"/>
              </w:rPr>
              <w:t xml:space="preserve"> as optional input</w:t>
            </w:r>
            <w:r>
              <w:rPr>
                <w:rFonts w:ascii="Arial" w:hAnsi="Arial" w:eastAsia="微软雅黑" w:cs="Arial"/>
                <w:lang w:val="en-US" w:eastAsia="zh-CN"/>
              </w:rPr>
              <w:t xml:space="preserve"> in clause 7.2.2.</w:t>
            </w:r>
          </w:p>
          <w:p>
            <w:pPr>
              <w:spacing w:before="60" w:after="0"/>
              <w:rPr>
                <w:rFonts w:ascii="Arial" w:hAnsi="Arial" w:eastAsia="微软雅黑" w:cs="Arial"/>
                <w:lang w:val="en-US" w:eastAsia="zh-CN"/>
              </w:rPr>
            </w:pPr>
            <w:r>
              <w:rPr>
                <w:rFonts w:hint="eastAsia" w:ascii="Arial" w:hAnsi="Arial" w:eastAsia="微软雅黑" w:cs="Arial"/>
                <w:lang w:val="en-US" w:eastAsia="zh-CN"/>
              </w:rPr>
              <w:t>Add storage approach as optional input in clause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36191691"/>
      <w:bookmarkStart w:id="2" w:name="_Toc20203939"/>
      <w:bookmarkStart w:id="3" w:name="_Toc83303923"/>
      <w:bookmarkStart w:id="4" w:name="_Toc47592409"/>
      <w:bookmarkStart w:id="5" w:name="_Toc45192777"/>
      <w:bookmarkStart w:id="6" w:name="_Toc27894624"/>
      <w:bookmarkStart w:id="7" w:name="_Toc51834490"/>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rPr>
          <w:lang w:eastAsia="ko-KR"/>
        </w:rPr>
      </w:pPr>
      <w:del w:id="0" w:author="Yuang(ZTE)" w:date="2025-09-10T11:36:00Z"/>
      <w:del w:id="1" w:author="Yuang(ZTE)" w:date="2025-09-10T11:36:00Z"/>
      <w:del w:id="2" w:author="Yuang(ZTE)" w:date="2025-09-10T11:36:00Z"/>
      <w:del w:id="3" w:author="Yuang(ZTE)" w:date="2025-09-10T11:36:00Z">
        <w:r>
          <w:rPr/>
          <w:object>
            <v:shape id="_x0000_i1025" o:spt="75" type="#_x0000_t75" style="height:779.95pt;width:431.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Yuang(ZTE)" w:date="2025-09-10T11:36:00Z"/>
    </w:p>
    <w:p>
      <w:pPr>
        <w:pStyle w:val="57"/>
        <w:rPr>
          <w:ins w:id="6" w:author="Yuang(ZTE)" w:date="2025-09-10T11:49:00Z"/>
        </w:rPr>
      </w:pPr>
      <w:ins w:id="7" w:author="Yuang(ZTE)" w:date="2025-09-10T11:36:00Z"/>
      <w:ins w:id="8" w:author="Yuang(ZTE)" w:date="2025-09-10T11:36:00Z"/>
      <w:ins w:id="9" w:author="Yuang(ZTE)" w:date="2025-09-10T11:36:00Z"/>
      <w:ins w:id="10" w:author="Yuang(ZTE)" w:date="2025-09-10T11:36:00Z">
        <w:r>
          <w:rPr/>
          <w:object>
            <v:shape id="_x0000_i1026" o:spt="75" type="#_x0000_t75" style="height:768.7pt;width:433.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Yuang(ZTE)" w:date="2025-09-10T11:36:00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del w:id="13" w:author="Yuang(ZTE)" w:date="2025-09-10T14:50:00Z">
        <w:r>
          <w:rPr>
            <w:lang w:val="en-US" w:eastAsia="ko-KR"/>
          </w:rPr>
          <w:delText>Based on provisioning or b</w:delText>
        </w:r>
      </w:del>
      <w:ins w:id="14" w:author="Yuang(ZTE)" w:date="2025-09-10T14:50:00Z">
        <w:r>
          <w:rPr>
            <w:rFonts w:hint="eastAsia"/>
            <w:lang w:val="en-US" w:eastAsia="zh-CN"/>
          </w:rPr>
          <w:t>B</w:t>
        </w:r>
      </w:ins>
      <w:r>
        <w:rPr>
          <w:lang w:eastAsia="ko-KR"/>
        </w:rPr>
        <w:t>ased on reception of a DataManagement subscription request</w:t>
      </w:r>
      <w:ins w:id="15" w:author="Yuang(ZTE)" w:date="2025-09-08T14:53:00Z">
        <w:r>
          <w:rPr>
            <w:rFonts w:hint="eastAsia"/>
            <w:lang w:val="en-US" w:eastAsia="zh-CN"/>
          </w:rPr>
          <w:t xml:space="preserve"> or </w:t>
        </w:r>
      </w:ins>
      <w:ins w:id="16" w:author="Yuang(ZTE)" w:date="2025-09-08T14:54:00Z">
        <w:r>
          <w:rPr>
            <w:rFonts w:hint="eastAsia"/>
            <w:lang w:val="en-US" w:eastAsia="zh-CN"/>
          </w:rPr>
          <w:t>Analytics subscription request</w:t>
        </w:r>
      </w:ins>
      <w:r>
        <w:rPr>
          <w:lang w:eastAsia="ko-KR"/>
        </w:rPr>
        <w:t xml:space="preserve"> (e.g. see clause 6.2.6.3.2</w:t>
      </w:r>
      <w:ins w:id="17" w:author="Yuang(ZTE)" w:date="2025-09-08T14:55:00Z">
        <w:r>
          <w:rPr>
            <w:rFonts w:hint="eastAsia"/>
            <w:lang w:val="en-US" w:eastAsia="zh-CN"/>
          </w:rPr>
          <w:t xml:space="preserve"> </w:t>
        </w:r>
      </w:ins>
      <w:ins w:id="18" w:author="Yuang(ZTE)" w:date="2025-09-08T15:03:00Z">
        <w:r>
          <w:rPr>
            <w:rFonts w:hint="eastAsia"/>
            <w:lang w:val="en-US" w:eastAsia="zh-CN"/>
          </w:rPr>
          <w:t>and</w:t>
        </w:r>
      </w:ins>
      <w:ins w:id="19" w:author="Yuang(ZTE)" w:date="2025-09-08T14:56:00Z">
        <w:r>
          <w:rPr>
            <w:rFonts w:hint="eastAsia"/>
            <w:lang w:val="en-US" w:eastAsia="zh-CN"/>
          </w:rPr>
          <w:t xml:space="preserve"> </w:t>
        </w:r>
      </w:ins>
      <w:ins w:id="20" w:author="Yuang(ZTE)" w:date="2025-09-08T14:57:00Z">
        <w:r>
          <w:rPr>
            <w:rFonts w:hint="eastAsia"/>
            <w:lang w:val="en-US" w:eastAsia="zh-CN"/>
          </w:rPr>
          <w:t xml:space="preserve">clause </w:t>
        </w:r>
      </w:ins>
      <w:ins w:id="21" w:author="Yuang(ZTE)" w:date="2025-09-08T14:58:00Z">
        <w:r>
          <w:rPr>
            <w:rFonts w:hint="eastAsia"/>
            <w:lang w:val="en-US" w:eastAsia="zh-CN"/>
          </w:rPr>
          <w:t xml:space="preserve">6.2.6.2 for </w:t>
        </w:r>
      </w:ins>
      <w:ins w:id="22" w:author="Yuang(ZTE)" w:date="2025-09-08T15:04:00Z">
        <w:r>
          <w:rPr>
            <w:lang w:eastAsia="ko-KR"/>
          </w:rPr>
          <w:t>DataManagement subscription reques</w:t>
        </w:r>
      </w:ins>
      <w:ins w:id="23" w:author="Yuang(ZTE)" w:date="2025-09-08T15:04:00Z">
        <w:r>
          <w:rPr>
            <w:rFonts w:hint="eastAsia"/>
            <w:lang w:val="en-US" w:eastAsia="zh-CN"/>
          </w:rPr>
          <w:t>t</w:t>
        </w:r>
      </w:ins>
      <w:ins w:id="24" w:author="Yuang(ZTE)" w:date="2025-10-14T09:43:00Z">
        <w:r>
          <w:rPr>
            <w:rFonts w:hint="eastAsia"/>
            <w:lang w:val="en-US" w:eastAsia="zh-CN"/>
          </w:rPr>
          <w:t>,</w:t>
        </w:r>
      </w:ins>
      <w:ins w:id="25" w:author="Yuang(ZTE)" w:date="2025-09-08T15:01:00Z">
        <w:r>
          <w:rPr>
            <w:rFonts w:hint="eastAsia"/>
            <w:lang w:val="en-US" w:eastAsia="zh-CN"/>
          </w:rPr>
          <w:t xml:space="preserve"> </w:t>
        </w:r>
      </w:ins>
      <w:ins w:id="26" w:author="Yuang(ZTE)" w:date="2025-09-08T15:16:00Z">
        <w:r>
          <w:rPr>
            <w:rFonts w:hint="eastAsia"/>
            <w:lang w:val="en-US" w:eastAsia="zh-CN"/>
          </w:rPr>
          <w:t>clause 6.1.1.1 for Analytics subscription request</w:t>
        </w:r>
      </w:ins>
      <w:r>
        <w:rPr>
          <w:lang w:eastAsia="ko-KR"/>
        </w:rPr>
        <w:t>)</w:t>
      </w:r>
      <w:ins w:id="27" w:author="Yuang(ZTE)" w:date="2025-09-10T15:23:00Z">
        <w:r>
          <w:rPr>
            <w:rFonts w:hint="eastAsia"/>
            <w:lang w:val="en-US" w:eastAsia="zh-CN"/>
          </w:rPr>
          <w:t xml:space="preserve"> or based on local configuration</w:t>
        </w:r>
      </w:ins>
      <w:r>
        <w:rPr>
          <w:lang w:eastAsia="ko-KR"/>
        </w:rPr>
        <w:t xml:space="preserve">, the DCCF or the NWDAF determines that </w:t>
      </w:r>
      <w:r>
        <w:rPr>
          <w:rFonts w:hint="default"/>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 xml:space="preserve">ADRF subscribes to the DCCF or the NWDAF to receive notifications, providing its notification endpoint address and a notification correlation ID. In step 6b, the ADRF uses Nnwdaf_DataManagement_Subscribe </w:t>
      </w:r>
      <w:del w:id="28" w:author="Yuang(ZTE)" w:date="2025-09-10T14:23:00Z">
        <w:r>
          <w:rPr>
            <w:lang w:eastAsia="ko-KR"/>
          </w:rPr>
          <w:delText>(as depicted in Figure 6.2B.3-1)</w:delText>
        </w:r>
      </w:del>
      <w:del w:id="29" w:author="Yuang(ZTE)" w:date="2025-09-10T14:25:00Z">
        <w:r>
          <w:rPr>
            <w:lang w:eastAsia="ko-KR"/>
          </w:rPr>
          <w:delText xml:space="preserve"> </w:delText>
        </w:r>
      </w:del>
      <w:r>
        <w:rPr>
          <w:lang w:eastAsia="ko-KR"/>
        </w:rPr>
        <w:t>to obtain data from the NWDAF or Nnwdaf_AnalyticsSubscription_Subscribe to obtain analytics from the NWDAF</w:t>
      </w:r>
      <w:del w:id="30" w:author="Yuang(ZTE)" w:date="2025-09-10T14:28:00Z">
        <w:r>
          <w:rPr>
            <w:lang w:eastAsia="ko-KR"/>
          </w:rPr>
          <w:delText xml:space="preserve"> (not depicted)</w:delText>
        </w:r>
      </w:del>
      <w:r>
        <w:rPr>
          <w:lang w:eastAsia="ko-KR"/>
        </w:rPr>
        <w:t>.</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rFonts w:hint="default"/>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rFonts w:hint="default"/>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ins w:id="31" w:author="Yuang(ZTE)" w:date="2025-09-10T14:23:00Z">
        <w:r>
          <w:rPr>
            <w:rFonts w:hint="eastAsia"/>
            <w:lang w:val="en-US" w:eastAsia="zh-CN"/>
          </w:rPr>
          <w:t xml:space="preserve"> or </w:t>
        </w:r>
      </w:ins>
      <w:ins w:id="32" w:author="Yuang(ZTE)" w:date="2025-09-10T14:55:00Z">
        <w:r>
          <w:rPr>
            <w:rFonts w:hint="eastAsia"/>
            <w:lang w:val="en-US" w:eastAsia="zh-CN"/>
          </w:rPr>
          <w:t>a</w:t>
        </w:r>
      </w:ins>
      <w:ins w:id="33" w:author="Yuang(ZTE)" w:date="2025-09-10T14:23:00Z">
        <w:r>
          <w:rPr>
            <w:rFonts w:hint="eastAsia"/>
            <w:lang w:val="en-US" w:eastAsia="zh-CN"/>
          </w:rPr>
          <w:t>nalytics</w:t>
        </w:r>
      </w:ins>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ins w:id="34" w:author="Yuang(ZTE)" w:date="2025-09-10T14:23:00Z">
        <w:r>
          <w:rPr>
            <w:rFonts w:hint="eastAsia"/>
            <w:lang w:val="en-US" w:eastAsia="zh-CN"/>
          </w:rPr>
          <w:t xml:space="preserve"> or Analytics</w:t>
        </w:r>
      </w:ins>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del w:id="35" w:author="Yuang(ZTE)" w:date="2025-09-10T14:37:00Z">
        <w:r>
          <w:rPr>
            <w:lang w:val="en-US"/>
          </w:rPr>
          <w:delText>D</w:delText>
        </w:r>
      </w:del>
      <w:ins w:id="36" w:author="Yuang(ZTE)" w:date="2025-09-10T14:37:00Z">
        <w:r>
          <w:rPr>
            <w:rFonts w:hint="eastAsia"/>
            <w:lang w:val="en-US" w:eastAsia="zh-CN"/>
          </w:rPr>
          <w:t>d</w:t>
        </w:r>
      </w:ins>
      <w:r>
        <w:t>ata or Analytics.</w:t>
      </w:r>
    </w:p>
    <w:p>
      <w:pPr>
        <w:pStyle w:val="78"/>
      </w:pPr>
      <w:r>
        <w:tab/>
      </w:r>
      <w:r>
        <w:t>14.</w:t>
      </w:r>
      <w:r>
        <w:tab/>
      </w:r>
      <w:r>
        <w:t xml:space="preserve">The DCCF or NWDAF may retrieve the </w:t>
      </w:r>
      <w:del w:id="37" w:author="Yuang(ZTE)" w:date="2025-09-10T14:37:00Z">
        <w:r>
          <w:rPr>
            <w:lang w:val="en-US"/>
          </w:rPr>
          <w:delText>D</w:delText>
        </w:r>
      </w:del>
      <w:ins w:id="38" w:author="Yuang(ZTE)" w:date="2025-09-10T14:37:00Z">
        <w:r>
          <w:rPr>
            <w:rFonts w:hint="eastAsia"/>
            <w:lang w:val="en-US" w:eastAsia="zh-CN"/>
          </w:rPr>
          <w:t>d</w:t>
        </w:r>
      </w:ins>
      <w:r>
        <w:t xml:space="preserve">ata or </w:t>
      </w:r>
      <w:del w:id="39" w:author="Yuang(ZTE)" w:date="2025-09-10T14:51:00Z">
        <w:r>
          <w:rPr>
            <w:lang w:val="en-US"/>
          </w:rPr>
          <w:delText>A</w:delText>
        </w:r>
      </w:del>
      <w:ins w:id="40" w:author="Yuang(ZTE)" w:date="2025-09-10T14:51:00Z">
        <w:r>
          <w:rPr>
            <w:rFonts w:hint="eastAsia"/>
            <w:lang w:val="en-US" w:eastAsia="zh-CN"/>
          </w:rPr>
          <w:t>a</w:t>
        </w:r>
      </w:ins>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del w:id="41" w:author="Yuang(ZTE)" w:date="2025-09-10T14:38:00Z">
        <w:r>
          <w:rPr>
            <w:lang w:val="en-US"/>
          </w:rPr>
          <w:delText>D</w:delText>
        </w:r>
      </w:del>
      <w:ins w:id="42" w:author="Yuang(ZTE)" w:date="2025-09-10T14:38:00Z">
        <w:r>
          <w:rPr>
            <w:rFonts w:hint="eastAsia"/>
            <w:lang w:val="en-US" w:eastAsia="zh-CN"/>
          </w:rPr>
          <w:t>d</w:t>
        </w:r>
      </w:ins>
      <w:r>
        <w:t>ata or Analytics.</w:t>
      </w:r>
    </w:p>
    <w:p>
      <w:pPr>
        <w:pStyle w:val="78"/>
      </w:pPr>
      <w:r>
        <w:t xml:space="preserve">17. The DCCF or NWDAF indicate in the response to the ADRF whether the consumer will retrieve the </w:t>
      </w:r>
      <w:del w:id="43" w:author="Yuang(ZTE)" w:date="2025-09-10T14:38:00Z">
        <w:r>
          <w:rPr>
            <w:lang w:val="en-US"/>
          </w:rPr>
          <w:delText>D</w:delText>
        </w:r>
      </w:del>
      <w:ins w:id="44" w:author="Yuang(ZTE)" w:date="2025-09-10T14:38:00Z">
        <w:r>
          <w:rPr>
            <w:rFonts w:hint="eastAsia"/>
            <w:lang w:val="en-US" w:eastAsia="zh-CN"/>
          </w:rPr>
          <w:t>d</w:t>
        </w:r>
      </w:ins>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ins w:id="45" w:author="Yuang(ZTE)" w:date="2025-09-08T16:30:00Z">
        <w:r>
          <w:rPr>
            <w:rFonts w:hint="eastAsia"/>
            <w:lang w:val="en-US" w:eastAsia="zh-CN"/>
          </w:rPr>
          <w:t xml:space="preserve"> or </w:t>
        </w:r>
      </w:ins>
      <w:ins w:id="46" w:author="Yuang(ZTE)" w:date="2025-09-10T14:51:00Z">
        <w:r>
          <w:rPr>
            <w:rFonts w:hint="eastAsia"/>
            <w:lang w:val="en-US" w:eastAsia="zh-CN"/>
          </w:rPr>
          <w:t>a</w:t>
        </w:r>
      </w:ins>
      <w:ins w:id="47" w:author="Yuang(ZTE)" w:date="2025-09-08T16:30:00Z">
        <w:r>
          <w:rPr>
            <w:rFonts w:hint="eastAsia"/>
            <w:lang w:val="en-US" w:eastAsia="zh-CN"/>
          </w:rPr>
          <w:t>nalytics</w:t>
        </w:r>
      </w:ins>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ins w:id="48" w:author="Yuang(ZTE)" w:date="2025-09-08T15:36:00Z"/>
          <w:lang w:eastAsia="zh-CN"/>
        </w:rPr>
      </w:pPr>
      <w:r>
        <w:rPr>
          <w:lang w:eastAsia="zh-CN"/>
        </w:rPr>
        <w:t>-</w:t>
      </w:r>
      <w:r>
        <w:rPr>
          <w:lang w:eastAsia="zh-CN"/>
        </w:rPr>
        <w:tab/>
      </w:r>
      <w:r>
        <w:rPr>
          <w:lang w:eastAsia="zh-CN"/>
        </w:rPr>
        <w:t>Analytics Feedback Information.</w:t>
      </w:r>
    </w:p>
    <w:p>
      <w:pPr>
        <w:pStyle w:val="78"/>
        <w:rPr>
          <w:ins w:id="49" w:author="Yuang(ZTE)" w:date="2025-09-08T15:42:00Z"/>
          <w:lang w:val="en-US" w:eastAsia="zh-CN"/>
        </w:rPr>
      </w:pPr>
      <w:ins w:id="50" w:author="Yuang(ZTE)" w:date="2025-09-08T15:36:00Z">
        <w:r>
          <w:rPr>
            <w:rFonts w:hint="eastAsia"/>
            <w:lang w:val="en-US" w:eastAsia="zh-CN"/>
          </w:rPr>
          <w:t>-</w:t>
        </w:r>
      </w:ins>
      <w:ins w:id="51" w:author="Yuang(ZTE)" w:date="2025-09-08T15:36:00Z">
        <w:r>
          <w:rPr>
            <w:rFonts w:hint="eastAsia"/>
            <w:lang w:val="en-US" w:eastAsia="zh-CN"/>
          </w:rPr>
          <w:tab/>
        </w:r>
      </w:ins>
      <w:ins w:id="52" w:author="Yuang(ZTE)" w:date="2025-09-08T15:36:00Z">
        <w:r>
          <w:rPr>
            <w:lang w:eastAsia="ja-JP"/>
          </w:rPr>
          <w:t>ADRF ID where</w:t>
        </w:r>
      </w:ins>
      <w:ins w:id="53" w:author="Yuang(ZTE)2" w:date="2025-10-14T10:01:00Z">
        <w:r>
          <w:rPr>
            <w:rFonts w:hint="eastAsia"/>
            <w:lang w:val="en-US" w:eastAsia="zh-CN"/>
          </w:rPr>
          <w:t xml:space="preserve"> </w:t>
        </w:r>
      </w:ins>
      <w:ins w:id="54" w:author="Yuang(ZTE)" w:date="2025-09-08T15:36:00Z">
        <w:r>
          <w:rPr>
            <w:rFonts w:hint="eastAsia"/>
            <w:lang w:val="en-US" w:eastAsia="zh-CN"/>
          </w:rPr>
          <w:t>Analytics</w:t>
        </w:r>
      </w:ins>
      <w:ins w:id="55" w:author="Yuang(ZTE)" w:date="2025-09-08T15:36:00Z">
        <w:r>
          <w:rPr>
            <w:lang w:eastAsia="ja-JP"/>
          </w:rPr>
          <w:t xml:space="preserve"> </w:t>
        </w:r>
      </w:ins>
      <w:ins w:id="56" w:author="Yuang(ZTE)" w:date="2025-09-08T15:37:00Z">
        <w:r>
          <w:rPr>
            <w:rFonts w:hint="eastAsia"/>
            <w:lang w:val="en-US" w:eastAsia="zh-CN"/>
          </w:rPr>
          <w:t>to be</w:t>
        </w:r>
      </w:ins>
      <w:ins w:id="57" w:author="Yuang(ZTE)" w:date="2025-09-08T15:36:00Z">
        <w:r>
          <w:rPr>
            <w:lang w:eastAsia="ja-JP"/>
          </w:rPr>
          <w:t xml:space="preserve"> stored</w:t>
        </w:r>
      </w:ins>
      <w:ins w:id="58" w:author="Yuang(ZTE)" w:date="2025-09-08T15:36:00Z">
        <w:r>
          <w:rPr>
            <w:rFonts w:hint="eastAsia"/>
            <w:lang w:val="en-US" w:eastAsia="zh-CN"/>
          </w:rPr>
          <w:t>.</w:t>
        </w:r>
      </w:ins>
    </w:p>
    <w:p>
      <w:pPr>
        <w:pStyle w:val="78"/>
        <w:rPr>
          <w:lang w:val="en-US" w:eastAsia="zh-CN"/>
        </w:rPr>
      </w:pPr>
      <w:ins w:id="59" w:author="Yuang(ZTE)" w:date="2025-09-08T15:42:00Z">
        <w:r>
          <w:rPr>
            <w:rFonts w:hint="eastAsia"/>
            <w:lang w:val="en-US" w:eastAsia="zh-CN"/>
          </w:rPr>
          <w:t>-</w:t>
        </w:r>
      </w:ins>
      <w:ins w:id="60" w:author="Yuang(ZTE)" w:date="2025-09-08T15:42:00Z">
        <w:r>
          <w:rPr>
            <w:rFonts w:hint="eastAsia"/>
            <w:lang w:val="en-US" w:eastAsia="zh-CN"/>
          </w:rPr>
          <w:tab/>
        </w:r>
      </w:ins>
      <w:ins w:id="61" w:author="Yuang(ZTE)" w:date="2025-09-08T15:42:00Z">
        <w:r>
          <w:rPr>
            <w:rFonts w:hint="eastAsia"/>
            <w:lang w:val="en-US" w:eastAsia="zh-CN"/>
          </w:rPr>
          <w:t>Storage Handling information as described in clause 5B.1.</w:t>
        </w:r>
      </w:ins>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lang w:val="en-US" w:eastAsia="zh-CN"/>
        </w:rPr>
      </w:pPr>
      <w:ins w:id="62" w:author="Yuang(ZTE)" w:date="2025-09-23T14:40:00Z">
        <w:r>
          <w:rPr>
            <w:rFonts w:hint="eastAsia"/>
            <w:lang w:val="en-US" w:eastAsia="zh-CN"/>
          </w:rPr>
          <w:t>-  Storage Approach</w:t>
        </w:r>
      </w:ins>
      <w:ins w:id="63" w:author="Yuang(ZTE)2" w:date="2025-10-14T09:28:00Z">
        <w:r>
          <w:rPr>
            <w:rFonts w:hint="eastAsia"/>
            <w:lang w:val="en-US" w:eastAsia="zh-CN"/>
          </w:rPr>
          <w:t xml:space="preserve"> as defi</w:t>
        </w:r>
      </w:ins>
      <w:ins w:id="64" w:author="Yuang(ZTE)2" w:date="2025-10-14T09:29:00Z">
        <w:r>
          <w:rPr>
            <w:rFonts w:hint="eastAsia"/>
            <w:lang w:val="en-US" w:eastAsia="zh-CN"/>
          </w:rPr>
          <w:t xml:space="preserve">ned in </w:t>
        </w:r>
      </w:ins>
      <w:ins w:id="65" w:author="Yuang(ZTE)2" w:date="2025-10-14T09:30:00Z">
        <w:r>
          <w:rPr>
            <w:rFonts w:hint="eastAsia"/>
            <w:lang w:val="en-US" w:eastAsia="zh-CN"/>
          </w:rPr>
          <w:t>5B.1.</w:t>
        </w:r>
      </w:ins>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0A4AD9"/>
    <w:rsid w:val="03BA2F9E"/>
    <w:rsid w:val="03EE4C38"/>
    <w:rsid w:val="04E06F22"/>
    <w:rsid w:val="05202CEB"/>
    <w:rsid w:val="053C067A"/>
    <w:rsid w:val="05E56021"/>
    <w:rsid w:val="05E7303A"/>
    <w:rsid w:val="05F26841"/>
    <w:rsid w:val="06442E08"/>
    <w:rsid w:val="073F2928"/>
    <w:rsid w:val="084D5092"/>
    <w:rsid w:val="08A2205A"/>
    <w:rsid w:val="09EB62D4"/>
    <w:rsid w:val="0A767FD8"/>
    <w:rsid w:val="0B245656"/>
    <w:rsid w:val="0BBD4025"/>
    <w:rsid w:val="0BD57228"/>
    <w:rsid w:val="0BE40E73"/>
    <w:rsid w:val="0C1B7D9A"/>
    <w:rsid w:val="0C307CC3"/>
    <w:rsid w:val="0E111C64"/>
    <w:rsid w:val="0E61450D"/>
    <w:rsid w:val="0E6D793A"/>
    <w:rsid w:val="0F1365E7"/>
    <w:rsid w:val="0FB61C0D"/>
    <w:rsid w:val="115E699A"/>
    <w:rsid w:val="1180393F"/>
    <w:rsid w:val="12136653"/>
    <w:rsid w:val="125F3832"/>
    <w:rsid w:val="129D6CB7"/>
    <w:rsid w:val="13842E92"/>
    <w:rsid w:val="13FE44F0"/>
    <w:rsid w:val="14D50120"/>
    <w:rsid w:val="14EC521E"/>
    <w:rsid w:val="1501576F"/>
    <w:rsid w:val="170433C3"/>
    <w:rsid w:val="17226076"/>
    <w:rsid w:val="174434A6"/>
    <w:rsid w:val="17C119A3"/>
    <w:rsid w:val="19601866"/>
    <w:rsid w:val="19C84547"/>
    <w:rsid w:val="19DD5567"/>
    <w:rsid w:val="19F652C3"/>
    <w:rsid w:val="1A3D54F7"/>
    <w:rsid w:val="1B106188"/>
    <w:rsid w:val="1BDC03BF"/>
    <w:rsid w:val="1C860DB9"/>
    <w:rsid w:val="1D4E60D4"/>
    <w:rsid w:val="1D725160"/>
    <w:rsid w:val="1DA96BD9"/>
    <w:rsid w:val="1DAB509A"/>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01822"/>
    <w:rsid w:val="264A1A72"/>
    <w:rsid w:val="2680494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F55BBC"/>
    <w:rsid w:val="32431736"/>
    <w:rsid w:val="32BD439A"/>
    <w:rsid w:val="330C3A32"/>
    <w:rsid w:val="34FE48A7"/>
    <w:rsid w:val="35344611"/>
    <w:rsid w:val="35582F86"/>
    <w:rsid w:val="355E5CCD"/>
    <w:rsid w:val="35A95E1C"/>
    <w:rsid w:val="36A92B1F"/>
    <w:rsid w:val="36C76891"/>
    <w:rsid w:val="37C000B5"/>
    <w:rsid w:val="381A49A9"/>
    <w:rsid w:val="38311B3F"/>
    <w:rsid w:val="38C85060"/>
    <w:rsid w:val="39561B76"/>
    <w:rsid w:val="3A5A6C15"/>
    <w:rsid w:val="3A695595"/>
    <w:rsid w:val="3A901249"/>
    <w:rsid w:val="3ADB7C94"/>
    <w:rsid w:val="3AE86F37"/>
    <w:rsid w:val="3B521F80"/>
    <w:rsid w:val="3B71206C"/>
    <w:rsid w:val="3C842B37"/>
    <w:rsid w:val="3CCA6EB0"/>
    <w:rsid w:val="3DC46ACB"/>
    <w:rsid w:val="3DD83972"/>
    <w:rsid w:val="3E1939A9"/>
    <w:rsid w:val="40574403"/>
    <w:rsid w:val="40935D33"/>
    <w:rsid w:val="40B254ED"/>
    <w:rsid w:val="40DB39C2"/>
    <w:rsid w:val="423B3BCD"/>
    <w:rsid w:val="42D90DE9"/>
    <w:rsid w:val="43DB1DF5"/>
    <w:rsid w:val="44096EA0"/>
    <w:rsid w:val="447424E4"/>
    <w:rsid w:val="44DC27B0"/>
    <w:rsid w:val="4548654D"/>
    <w:rsid w:val="47871513"/>
    <w:rsid w:val="47C94BC8"/>
    <w:rsid w:val="47D14A3B"/>
    <w:rsid w:val="47E51E8D"/>
    <w:rsid w:val="48071E60"/>
    <w:rsid w:val="48F07CE5"/>
    <w:rsid w:val="4A263AB9"/>
    <w:rsid w:val="4A5C0C50"/>
    <w:rsid w:val="4A732CC1"/>
    <w:rsid w:val="4AAC3B38"/>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DE058B"/>
    <w:rsid w:val="654F0FE3"/>
    <w:rsid w:val="656409FC"/>
    <w:rsid w:val="670A7B93"/>
    <w:rsid w:val="67DC5AFB"/>
    <w:rsid w:val="68016156"/>
    <w:rsid w:val="68E15A61"/>
    <w:rsid w:val="6918383F"/>
    <w:rsid w:val="69373F73"/>
    <w:rsid w:val="6954706E"/>
    <w:rsid w:val="697A0C53"/>
    <w:rsid w:val="6BB124E1"/>
    <w:rsid w:val="6BFD3082"/>
    <w:rsid w:val="6C1F6F37"/>
    <w:rsid w:val="6D876F6E"/>
    <w:rsid w:val="6E837102"/>
    <w:rsid w:val="6EE006D2"/>
    <w:rsid w:val="6FB44068"/>
    <w:rsid w:val="6FE218F9"/>
    <w:rsid w:val="6FED0CD7"/>
    <w:rsid w:val="70393F4B"/>
    <w:rsid w:val="70FE28C3"/>
    <w:rsid w:val="71032BA4"/>
    <w:rsid w:val="716D72EC"/>
    <w:rsid w:val="716F7FBB"/>
    <w:rsid w:val="717F3609"/>
    <w:rsid w:val="73CE5E43"/>
    <w:rsid w:val="74383221"/>
    <w:rsid w:val="75335FCD"/>
    <w:rsid w:val="75A776F4"/>
    <w:rsid w:val="7605734F"/>
    <w:rsid w:val="768C7419"/>
    <w:rsid w:val="7714531F"/>
    <w:rsid w:val="7720291C"/>
    <w:rsid w:val="77B3342E"/>
    <w:rsid w:val="77E90B68"/>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7492-ACF2-469D-929F-3CDDDA21DC8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2631</Words>
  <Characters>14339</Characters>
  <Lines>358</Lines>
  <Paragraphs>220</Paragraphs>
  <TotalTime>26</TotalTime>
  <ScaleCrop>false</ScaleCrop>
  <LinksUpToDate>false</LinksUpToDate>
  <CharactersWithSpaces>16750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2025-09-26T06:41:00Z</dcterms:created>
  <dc:creator>Michael Sanders, John M Meredith</dc:creator>
  <cp:lastModifiedBy>Yuang(ZTE)2</cp:lastModifiedBy>
  <cp:lastPrinted>2023-01-03T00:16:00Z</cp:lastPrinted>
  <dcterms:modified xsi:type="dcterms:W3CDTF">2025-10-17T06:59:07Z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